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22"/>
        <w:gridCol w:w="86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Zajęcia sprawnościowe  z elementami ratownictwa medycznego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  IV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behawioralne i społeczne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Sprawność fizyczna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Nauka prowadzenia akcji ratowniczej w zespole, dbania o bezpieczeństwo współpracowników, komunikacji i współpracy z nimi. Wpajanie nawyku dbałości o dobrą kondycję fizyczną. Zapoznanie z zasadami promocji zdrowia, zdrowego stylu życia, redukowania stresu, ochrony środowiska.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praca w grupach, dyskusja, rozwiązywanie zadań..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 fantomy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323" w:hRule="atLeast"/>
        </w:trPr>
        <w:tc>
          <w:tcPr>
            <w:tcW w:w="2663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B.W27 skutki zdrowotne wywołane działaniem szkodliwych czynników fizycznych, chemicznych i biologicznych na organizm, w tym zasady bezpieczeństwa własnego ratownika medycznego;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test aktywność w trakcie zajęć, bieżąca kontrola na zajęciach</w:t>
            </w:r>
          </w:p>
        </w:tc>
      </w:tr>
      <w:tr>
        <w:trPr>
          <w:trHeight w:val="323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B.W42. sposoby zwiększania sprawności fizycznej;</w:t>
            </w:r>
          </w:p>
        </w:tc>
        <w:tc>
          <w:tcPr>
            <w:tcW w:w="1969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568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3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Autospacing="0" w:before="0" w:afterAutospacing="0" w:after="0"/>
              <w:jc w:val="both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B.U</w:t>
            </w: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2. rozpoznawać sytuacje, które wymagają konsultacji z przedstawicielem innego zawodu medycznego lub koordynatorem medycznym;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sprawdzian praktyczny</w:t>
            </w:r>
          </w:p>
        </w:tc>
      </w:tr>
      <w:tr>
        <w:trPr>
          <w:trHeight w:val="48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Autospacing="0" w:before="0" w:afterAutospacing="0" w:after="0"/>
              <w:jc w:val="both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B.U3 dbać o bezpieczeństwo własne, pacjentów, otoczenia i środowiska, przestrzegając zasad bezpieczeństwa i higieny pracy oraz przepisów i zasad regulujących postępowanie w przypadku różnych rodzajów zagrożeń;</w:t>
            </w:r>
          </w:p>
        </w:tc>
        <w:tc>
          <w:tcPr>
            <w:tcW w:w="1969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564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Web"/>
              <w:numPr>
                <w:ilvl w:val="0"/>
                <w:numId w:val="0"/>
              </w:numPr>
              <w:suppressAutoHyphens w:val="true"/>
              <w:spacing w:lineRule="auto" w:line="240" w:beforeAutospacing="0" w:before="0" w:afterAutospacing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B.U11 komunikować się ze współpracownikami w ramach zespołu, udzielając im informacji zwrotnej i wsparcia;</w:t>
            </w:r>
          </w:p>
        </w:tc>
        <w:tc>
          <w:tcPr>
            <w:tcW w:w="1969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792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3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Autospacing="0" w:before="0" w:afterAutospacing="0" w:after="0"/>
              <w:jc w:val="both"/>
              <w:rPr/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B.U20 wykonywać czynności z zakresu ratownictwa medycznego i udzielać świadczeń zdrowotnych z zachowaniem regulacji prawnych dotyczących wykonywania zawodu ratownika medycznego.</w:t>
            </w:r>
          </w:p>
        </w:tc>
        <w:tc>
          <w:tcPr>
            <w:tcW w:w="1969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548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K.1.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6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39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  <w:t>K.2. dostrzegania czynników wpływających na reakcje własne i pacjenta;</w:t>
            </w:r>
          </w:p>
        </w:tc>
        <w:tc>
          <w:tcPr>
            <w:tcW w:w="1969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0"/>
                <w:szCs w:val="20"/>
              </w:rPr>
            </w:r>
          </w:p>
        </w:tc>
      </w:tr>
      <w:tr>
        <w:trPr>
          <w:trHeight w:val="564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3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 dostrzegania i rozpoznawania własnych ograniczeń, dokonywania samooceny deficytów i potrzeb edukacyjnych;</w:t>
            </w:r>
          </w:p>
        </w:tc>
        <w:tc>
          <w:tcPr>
            <w:tcW w:w="1969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 i umiejętności: Egzamin praktyczny, realizacja zleconego zadania,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obserwacja przez prowadzącego, samoocena.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6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Doskonalenie sprawności i wydolności fizycznej.</w:t>
            </w:r>
          </w:p>
        </w:tc>
        <w:tc>
          <w:tcPr>
            <w:tcW w:w="1969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Elementy samoobrony; doskonalenie technik samoobrony.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Poznanie i rozwijanie własnych odruchów jako reakcji na daną sytuację.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Doskonalenie wytrzymałości ogólnej.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Doskonalenie umiejętności pływackich. Elementy ratownictwa specjalistycznego.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Doskonalenie umiejętności i technik korzystania ze sprzętu wodnego.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Atletyka terenowa; atletyka w trudnych warunkach terenowych. Doskonalenie zdolności siłowych.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Przygotowanie sprawnościowe w zakresie udzielania pomocy medycznej.</w:t>
            </w:r>
          </w:p>
        </w:tc>
        <w:tc>
          <w:tcPr>
            <w:tcW w:w="19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Doskonalenie poznanych umiejętności – symulowane akcje ratownicze.</w:t>
            </w:r>
          </w:p>
        </w:tc>
        <w:tc>
          <w:tcPr>
            <w:tcW w:w="19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299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Trening ogólnorozwojowy w terenie. Team building.</w:t>
            </w:r>
          </w:p>
        </w:tc>
        <w:tc>
          <w:tcPr>
            <w:tcW w:w="19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 i Ćwiczenia: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uzyskanie ≥60% wymaganej punkt.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u w:val="singl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u w:val="single"/>
                <w:lang w:eastAsia="pl-PL"/>
              </w:rPr>
              <w:t>Regulamin przedmiotu:</w:t>
            </w:r>
          </w:p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0"/>
              <w:ind w:hanging="0" w:left="72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1. Obóz realizowany jest w czerwcu, w semestrze IV (termin ruchomy) i jest integralną częścią programu studiów.</w:t>
            </w:r>
          </w:p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0"/>
              <w:ind w:hanging="0" w:left="72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2. Warunkiem zaliczenia obozu jest aktywny udział we wszystkich zajęciach, w określonych przez kierownika obozu grupach oraz uzyskanie pozytywnych ocen ze wszystkich zaliczeń cząstkowych.</w:t>
            </w:r>
          </w:p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0"/>
              <w:ind w:hanging="0" w:left="72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3. Na czas trwania obozu, każdy Student jest zobligowany na własny koszt zaopatrzyć się w podstawowy sprzęt (strój sportowy,)</w:t>
            </w:r>
          </w:p>
          <w:p>
            <w:pPr>
              <w:pStyle w:val="ListParagraph"/>
              <w:numPr>
                <w:ilvl w:val="0"/>
                <w:numId w:val="0"/>
              </w:numPr>
              <w:spacing w:lineRule="auto" w:line="240" w:before="0" w:after="0"/>
              <w:ind w:hanging="0" w:left="72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4. Student ma jedno podejście do zaliczenia obozu. W przypadku jego niezaliczenia, podchodzi z kolejnym rocznikiem, w kolejnym roku akademickim.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TableParagraph"/>
              <w:numPr>
                <w:ilvl w:val="0"/>
                <w:numId w:val="1"/>
              </w:numPr>
              <w:tabs>
                <w:tab w:val="clear" w:pos="708"/>
                <w:tab w:val="left" w:pos="601" w:leader="none"/>
              </w:tabs>
              <w:ind w:hanging="360" w:left="360" w:right="1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Dougherty Martin J. Sztuka samoobrony. Gola 2010.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clear" w:pos="708"/>
                <w:tab w:val="left" w:pos="601" w:leader="none"/>
              </w:tabs>
              <w:ind w:hanging="360" w:left="360" w:right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Bondarowicz M.: Zabawy i gry ruchowe w zajęciach sportowych. Wydawnictwo Centralny Ośrodek Sportu. Warszawa 2002.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2"/>
              </w:numPr>
              <w:spacing w:lineRule="auto" w:line="240" w:before="0" w:after="0"/>
              <w:ind w:hanging="360" w:left="37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Woynarowska B.: Edukacja zdrowotna. Podręcznik akademicki. Wydawnictwo Naukowe PWN, Warszawa 2010.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Wołyniec J.: Przepisy gier sportowych w zakresie podstawowym. Wydawnictwo BK, Wrocław 2006.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TableParagraph" w:customStyle="1">
    <w:name w:val="Table Paragraph"/>
    <w:basedOn w:val="Normal"/>
    <w:uiPriority w:val="1"/>
    <w:qFormat/>
    <w:rsid w:val="00f236b6"/>
    <w:pPr>
      <w:widowControl w:val="false"/>
      <w:spacing w:lineRule="auto" w:line="240" w:before="0" w:after="0"/>
    </w:pPr>
    <w:rPr>
      <w:rFonts w:ascii="Calibri" w:hAnsi="Calibri" w:eastAsia="Calibri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Application>LibreOffice/25.8.5.2$Windows_X86_64 LibreOffice_project/9c8b85f387cc00a89945a79c9e6239f32e450ac2</Application>
  <AppVersion>15.0000</AppVersion>
  <DocSecurity>0</DocSecurity>
  <Pages>3</Pages>
  <Words>969</Words>
  <Characters>6805</Characters>
  <CharactersWithSpaces>7643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2026-04-26T22:49:30Z</dcterms:modified>
  <cp:revision>181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